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94" w:rsidRDefault="009D6594">
      <w:bookmarkStart w:id="0" w:name="_GoBack"/>
      <w:bookmarkEnd w:id="0"/>
    </w:p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3240"/>
        <w:gridCol w:w="7920"/>
      </w:tblGrid>
      <w:tr w:rsidR="009D6594">
        <w:tc>
          <w:tcPr>
            <w:tcW w:w="11160" w:type="dxa"/>
            <w:gridSpan w:val="2"/>
          </w:tcPr>
          <w:p w:rsidR="009D6594" w:rsidRDefault="007772EB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АДМ</w:t>
            </w:r>
            <w:proofErr w:type="gramEnd"/>
            <w:r>
              <w:rPr>
                <w:b/>
                <w:sz w:val="28"/>
                <w:szCs w:val="28"/>
              </w:rPr>
              <w:t>ІНІСТРАЦЫЙНАЯ ПРАЦЭДУРА</w:t>
            </w:r>
          </w:p>
        </w:tc>
      </w:tr>
      <w:tr w:rsidR="009D6594">
        <w:tc>
          <w:tcPr>
            <w:tcW w:w="11160" w:type="dxa"/>
            <w:gridSpan w:val="2"/>
          </w:tcPr>
          <w:p w:rsidR="009D6594" w:rsidRDefault="009D659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9D6594">
        <w:tc>
          <w:tcPr>
            <w:tcW w:w="11160" w:type="dxa"/>
            <w:gridSpan w:val="2"/>
          </w:tcPr>
          <w:p w:rsidR="009D6594" w:rsidRDefault="007772EB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Нумар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найменне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адм</w:t>
            </w:r>
            <w:proofErr w:type="gramEnd"/>
            <w:r>
              <w:rPr>
                <w:sz w:val="28"/>
                <w:szCs w:val="28"/>
              </w:rPr>
              <w:t>іністрацыйнай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працэдуры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паводле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9D6594">
        <w:tc>
          <w:tcPr>
            <w:tcW w:w="11160" w:type="dxa"/>
            <w:gridSpan w:val="2"/>
          </w:tcPr>
          <w:p w:rsidR="009D6594" w:rsidRDefault="009D659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9D6594">
        <w:tc>
          <w:tcPr>
            <w:tcW w:w="11160" w:type="dxa"/>
            <w:gridSpan w:val="2"/>
          </w:tcPr>
          <w:p w:rsidR="009D6594" w:rsidRDefault="007772E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5.5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Рэгістрацыя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смерці</w:t>
            </w:r>
            <w:proofErr w:type="spellEnd"/>
          </w:p>
        </w:tc>
      </w:tr>
      <w:tr w:rsidR="009D6594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000" w:firstRow="0" w:lastRow="0" w:firstColumn="0" w:lastColumn="0" w:noHBand="0" w:noVBand="0"/>
            </w:tblPr>
            <w:tblGrid>
              <w:gridCol w:w="10605"/>
            </w:tblGrid>
            <w:tr w:rsidR="009D6594">
              <w:tc>
                <w:tcPr>
                  <w:tcW w:w="10605" w:type="dxa"/>
                  <w:shd w:val="clear" w:color="auto" w:fill="D9D9D9"/>
                </w:tcPr>
                <w:p w:rsidR="009D6594" w:rsidRDefault="009D6594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D6594">
              <w:tc>
                <w:tcPr>
                  <w:tcW w:w="10605" w:type="dxa"/>
                </w:tcPr>
                <w:p w:rsidR="009D6594" w:rsidRDefault="009D6594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9D6594" w:rsidRDefault="007772E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Аддзела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загса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Наваполацкага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гарвыканкама</w:t>
                  </w:r>
                  <w:proofErr w:type="spellEnd"/>
                </w:p>
                <w:p w:rsidR="009D6594" w:rsidRDefault="009D6594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9D6594" w:rsidRDefault="007772E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г.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Наваполацк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вул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Маладзёжная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, д. 155</w:t>
                  </w:r>
                </w:p>
                <w:p w:rsidR="009D6594" w:rsidRDefault="009D6594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D6594" w:rsidRDefault="007772E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Час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аўторак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чацверг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пятн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i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ца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з 8.00 да </w:t>
                  </w:r>
                  <w:r>
                    <w:rPr>
                      <w:b/>
                      <w:sz w:val="28"/>
                      <w:szCs w:val="28"/>
                    </w:rPr>
                    <w:t xml:space="preserve">13.00, з 14.00 да 17.00,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серада-пятніца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з 8.00 да 20.00,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субота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з 9.00 да 17.00,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выходныя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дні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нядзеля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9D6594" w:rsidRDefault="009D6594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3"/>
                    <w:gridCol w:w="6635"/>
                  </w:tblGrid>
                  <w:tr w:rsidR="009D6594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D6594" w:rsidRDefault="007772EB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Дзяржаўны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орган,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іншая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арганізацыя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а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межведамасная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і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іншая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камісіі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да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кампетэнцыі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якіх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адносіцца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ажыццяўленне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уп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аўнаважаны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орган)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D6594" w:rsidRDefault="007772EB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Орган загса па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апошнім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жыхарства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па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наступлення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смерці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па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выяўлення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памерлага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па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пахавання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памерлага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знаходжання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арганізацыі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якая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выдала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ўрачэбнае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пасведчанне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смерці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мертванароджанні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ме</w:t>
                        </w:r>
                        <w:r>
                          <w:rPr>
                            <w:sz w:val="28"/>
                            <w:szCs w:val="28"/>
                          </w:rPr>
                          <w:t>сцы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знаходжання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суда,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які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вынес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рашэнне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устанаўленні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факта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смерці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аб'яўлення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грамадзяніна</w:t>
                        </w:r>
                        <w:proofErr w:type="spellEnd"/>
                      </w:p>
                    </w:tc>
                  </w:tr>
                  <w:tr w:rsidR="009D6594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D6594" w:rsidRDefault="007772EB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Форма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9D6594" w:rsidRDefault="007772EB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Вусная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>/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ісьмовая</w:t>
                        </w:r>
                        <w:proofErr w:type="spellEnd"/>
                      </w:p>
                      <w:p w:rsidR="009D6594" w:rsidRDefault="009D6594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D6594" w:rsidRDefault="007772EB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Заява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ісьмовай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форме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падаецца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выпадках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:</w:t>
                        </w:r>
                      </w:p>
                      <w:p w:rsidR="009D6594" w:rsidRDefault="007772EB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калі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для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смерці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не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прадстаўлены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дакумент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які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сведчыць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асобу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памерлага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9D6594" w:rsidRDefault="009D6594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9D6594" w:rsidRDefault="007772EB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пропуску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тэрміну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смерці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устаноўленай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артыкулам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221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Кодэкса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9D6594" w:rsidRDefault="009D6594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9D6594" w:rsidRDefault="007772EB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калі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для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смерці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прадстаўлена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копія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суда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устанаўленні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факту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смерці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аб'яўленні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грамадзяніна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памерлым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9D6594" w:rsidRDefault="007772EB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калі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для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смерці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асобы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рэпрэсаванай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рашэнні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несудовага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судовага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органа (далей -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рэпрэсаваная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асоба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),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прадстаўлена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запытана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паведамленне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Камітэта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дзяржаўнай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бяспекі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9D6594" w:rsidRDefault="007772EB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калі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памерлы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з'яўляўся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замежным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грамадзянінам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асобай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без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грамадзянства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якая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часова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знаходзіл</w:t>
                        </w:r>
                        <w:r>
                          <w:rPr>
                            <w:sz w:val="28"/>
                            <w:szCs w:val="28"/>
                          </w:rPr>
                          <w:t>ася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пражывала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) у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Рэспубліцы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Беларусь;</w:t>
                        </w:r>
                      </w:p>
                      <w:p w:rsidR="009D6594" w:rsidRDefault="007772EB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у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выпадках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жаданні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заяўніка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9D6594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D6594" w:rsidRDefault="007772EB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9D6594" w:rsidRDefault="007772EB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Не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пазней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за сем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дзён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з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моманту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наступлення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смерці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выяўлення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памерлага</w:t>
                        </w:r>
                        <w:proofErr w:type="spellEnd"/>
                      </w:p>
                    </w:tc>
                  </w:tr>
                  <w:tr w:rsidR="009D6594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D6594" w:rsidRDefault="007772EB">
                        <w:pPr>
                          <w:spacing w:line="240" w:lineRule="exact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Парадак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прадстаўлення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грамадзянамі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дакументаў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9D6594" w:rsidRDefault="007772EB">
                        <w:pPr>
                          <w:pStyle w:val="newncpi"/>
                          <w:ind w:firstLine="0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Заява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смерці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можа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быц</w:t>
                        </w:r>
                        <w:r>
                          <w:rPr>
                            <w:sz w:val="28"/>
                            <w:szCs w:val="28"/>
                          </w:rPr>
                          <w:t>ь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зроблена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ў орган,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які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рэгіструе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акты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сваякамі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работнікамі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арганізацыі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якая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ажыццяўляе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эксплуатацыю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жыллёвага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фонду,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іністрацыяй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арганізацыі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аховы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здароўя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іншай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арганізацыі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наступлення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смерці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выяўлення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пам</w:t>
                        </w:r>
                        <w:r>
                          <w:rPr>
                            <w:sz w:val="28"/>
                            <w:szCs w:val="28"/>
                          </w:rPr>
                          <w:t>ерлага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іншай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асобай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9D6594" w:rsidRDefault="007772EB">
                        <w:pPr>
                          <w:ind w:left="85" w:right="57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Заява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смерці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павінна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зроблена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не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пазней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за сем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дзён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з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моманту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наступлення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смерці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выяўлення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памерлага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9D6594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D6594" w:rsidRDefault="007772EB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Дакументы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  <w:p w:rsidR="009D6594" w:rsidRDefault="007772EB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прадстаўляюцца</w:t>
                        </w:r>
                        <w:proofErr w:type="spellEnd"/>
                      </w:p>
                      <w:p w:rsidR="009D6594" w:rsidRDefault="007772EB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грамадзянінам</w:t>
                        </w:r>
                        <w:proofErr w:type="spellEnd"/>
                      </w:p>
                      <w:p w:rsidR="009D6594" w:rsidRDefault="007772EB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для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</w:p>
                      <w:p w:rsidR="009D6594" w:rsidRDefault="007772EB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</w:p>
                      <w:p w:rsidR="009D6594" w:rsidRDefault="007772EB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9D6594" w:rsidRDefault="007772EB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заяву</w:t>
                        </w:r>
                        <w:proofErr w:type="spellEnd"/>
                      </w:p>
                      <w:p w:rsidR="009D6594" w:rsidRDefault="007772EB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-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пашпарты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сведчаць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асобу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заяўніка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і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памерлага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(за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выключэннем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замежных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грамадзян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і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асоб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без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грамадзянства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хадайнічаюць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прадастаўленні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статусу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бежанца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дадатковай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абароны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прытулку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Рэспубліцы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Беларусь, і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межных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грамадзян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і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асоб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без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грамадзянства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якім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прадастаўлена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дадатковая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абарона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Рэспубліцы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Беларусь</w:t>
                        </w: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)</w:t>
                        </w:r>
                        <w:proofErr w:type="gramEnd"/>
                      </w:p>
                      <w:p w:rsidR="009D6594" w:rsidRDefault="007772EB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пасведчанні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заяўніка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і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памерлага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хадайніцтва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прадастаўленні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статусу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бежанца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дадатковай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абароны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прытулку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Рэспубліцы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Беларусь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- для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замежных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грамадзян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і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асоб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без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грамадзянства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хадайнічаюць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прадастаўленні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статусу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бежанца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дадатковай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абароны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Рэспубліцы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Беларусь</w:t>
                        </w:r>
                      </w:p>
                      <w:p w:rsidR="009D6594" w:rsidRDefault="007772EB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медычнае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пасведчанне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смерці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мертванароджанні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копія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суда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устанаўленні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факту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смерці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аб'яўленні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грамадзяніна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памерлым</w:t>
                        </w:r>
                        <w:proofErr w:type="spellEnd"/>
                      </w:p>
                      <w:p w:rsidR="009D6594" w:rsidRDefault="007772EB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дакумент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спецыялізаванай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арганізацыі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якая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ажыццявіла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пахаванне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памерлага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- у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выпадку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смерці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пахавання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памерлага</w:t>
                        </w:r>
                        <w:proofErr w:type="spellEnd"/>
                      </w:p>
                      <w:p w:rsidR="009D6594" w:rsidRDefault="007772E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ваенны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білет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памерлага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- у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выпадку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смерці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ваеннаслужачых</w:t>
                        </w:r>
                        <w:proofErr w:type="spellEnd"/>
                      </w:p>
                    </w:tc>
                  </w:tr>
                  <w:tr w:rsidR="009D6594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D6594" w:rsidRDefault="007772EB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і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запытваюцца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адказным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исполнителем: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D6594" w:rsidRDefault="007772EB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извещение Комитета государственной безопасности в случае регистрации смерти лиц, репрессированных по решениям несудебных и судебных органов, – из Комитета государственной безопасности;</w:t>
                        </w:r>
                      </w:p>
                      <w:p w:rsidR="009D6594" w:rsidRDefault="007772EB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сведения об умер</w:t>
                        </w:r>
                        <w:r>
                          <w:rPr>
                            <w:sz w:val="28"/>
                            <w:szCs w:val="28"/>
                          </w:rPr>
                          <w:t>шем лице (персональные данные) в случае отсутствия документа, удостоверяющего личность гражданина Республики Беларусь, а также иностранного гражданина или лица без гражданства, постоянно проживающего в Республике Беларусь, – из государственной информационн</w:t>
                        </w:r>
                        <w:r>
                          <w:rPr>
                            <w:sz w:val="28"/>
                            <w:szCs w:val="28"/>
                          </w:rPr>
                          <w:t>ой системы «Регистр населения» (далее – регистр населения), за исключением регистрации смерти загранучреждениями;</w:t>
                        </w:r>
                      </w:p>
                      <w:p w:rsidR="009D6594" w:rsidRDefault="007772EB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копии записей актов гражданского состояния, совершенных органами загса Республики Беларусь, и (или) копии записей актов гражданского состояния</w:t>
                        </w:r>
                        <w:r>
                          <w:rPr>
                            <w:sz w:val="28"/>
                            <w:szCs w:val="28"/>
                          </w:rPr>
                          <w:t>, совершенных компетентными органами иностранных госуда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рств пр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и наличии международных договоров Республики Беларусь;</w:t>
                        </w:r>
                      </w:p>
                      <w:p w:rsidR="009D6594" w:rsidRDefault="007772EB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иные сведения и (или) документы, которые могут быть получены от других государственных органов, иных организаций.</w:t>
                        </w:r>
                      </w:p>
                      <w:p w:rsidR="009D6594" w:rsidRDefault="007772EB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Свидетельства о регистрац</w:t>
                        </w:r>
                        <w:r>
                          <w:rPr>
                            <w:sz w:val="28"/>
                            <w:szCs w:val="28"/>
                          </w:rPr>
                          <w:t>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</w:r>
                      </w:p>
                    </w:tc>
                  </w:tr>
                  <w:tr w:rsidR="009D6594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D6594" w:rsidRDefault="007772EB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Максімальны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9D6594" w:rsidRDefault="007772EB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у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дзень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>,</w:t>
                        </w:r>
                      </w:p>
                      <w:p w:rsidR="009D6594" w:rsidRDefault="007772EB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 ў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выпадку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пыту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звестак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дакументаў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ад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дзяржаўных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органаў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арганізацый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- 1 месяц</w:t>
                        </w:r>
                      </w:p>
                    </w:tc>
                  </w:tr>
                  <w:tr w:rsidR="009D6594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9D6594" w:rsidRDefault="007772EB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Памер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платы, якая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спаганяецца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9D6594" w:rsidRDefault="009D6594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D6594" w:rsidRDefault="007772EB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бясплатна</w:t>
                        </w:r>
                        <w:proofErr w:type="spellEnd"/>
                      </w:p>
                    </w:tc>
                  </w:tr>
                  <w:tr w:rsidR="009D6594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9D6594" w:rsidRDefault="007772EB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дзеяння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даведкі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іншага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дакумента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),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выдаюцца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прымаецца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9D6594" w:rsidRDefault="009D6594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D6594" w:rsidRDefault="009D6594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D6594" w:rsidRDefault="007772EB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бестэрмінова</w:t>
                        </w:r>
                        <w:proofErr w:type="spellEnd"/>
                      </w:p>
                    </w:tc>
                  </w:tr>
                </w:tbl>
                <w:p w:rsidR="009D6594" w:rsidRDefault="009D6594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D6594" w:rsidRDefault="009D6594">
            <w:pPr>
              <w:jc w:val="both"/>
              <w:rPr>
                <w:sz w:val="28"/>
                <w:szCs w:val="28"/>
              </w:rPr>
            </w:pPr>
          </w:p>
        </w:tc>
      </w:tr>
      <w:tr w:rsidR="009D6594">
        <w:tc>
          <w:tcPr>
            <w:tcW w:w="3240" w:type="dxa"/>
          </w:tcPr>
          <w:p w:rsidR="009D6594" w:rsidRDefault="009D6594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9D6594" w:rsidRDefault="009D6594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9D6594" w:rsidRDefault="009D6594">
      <w:pPr>
        <w:ind w:firstLine="709"/>
        <w:jc w:val="both"/>
        <w:rPr>
          <w:sz w:val="28"/>
          <w:szCs w:val="28"/>
        </w:rPr>
      </w:pPr>
    </w:p>
    <w:p w:rsidR="009D6594" w:rsidRDefault="009D6594"/>
    <w:sectPr w:rsidR="009D6594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9D6594"/>
    <w:rsid w:val="007772EB"/>
    <w:rsid w:val="009D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newncpi">
    <w:name w:val="newncpi"/>
    <w:basedOn w:val="a"/>
    <w:pPr>
      <w:ind w:firstLine="567"/>
      <w:jc w:val="both"/>
    </w:pPr>
  </w:style>
  <w:style w:type="paragraph" w:customStyle="1" w:styleId="point">
    <w:name w:val="point"/>
    <w:basedOn w:val="a"/>
    <w:pPr>
      <w:spacing w:before="160" w:after="160"/>
      <w:ind w:firstLine="567"/>
      <w:jc w:val="both"/>
    </w:p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newncpi">
    <w:name w:val="newncpi"/>
    <w:basedOn w:val="a"/>
    <w:pPr>
      <w:ind w:firstLine="567"/>
      <w:jc w:val="both"/>
    </w:pPr>
  </w:style>
  <w:style w:type="paragraph" w:customStyle="1" w:styleId="point">
    <w:name w:val="point"/>
    <w:basedOn w:val="a"/>
    <w:pPr>
      <w:spacing w:before="160" w:after="160"/>
      <w:ind w:firstLine="567"/>
      <w:jc w:val="both"/>
    </w:p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2025-06-18T15:44:00Z</dcterms:created>
  <dcterms:modified xsi:type="dcterms:W3CDTF">2025-06-18T15:44:00Z</dcterms:modified>
</cp:coreProperties>
</file>