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563B" w14:textId="77777777" w:rsidR="00196427" w:rsidRDefault="00196427" w:rsidP="00196427">
      <w:pPr>
        <w:pStyle w:val="a3"/>
        <w:jc w:val="center"/>
      </w:pPr>
      <w:r>
        <w:rPr>
          <w:rStyle w:val="a4"/>
        </w:rPr>
        <w:t>НОВОПОЛОЦКИЙ ГОРОДСКОЙ ИСПОЛНИТЕЛЬНЫЙ КОМИТЕТ</w:t>
      </w:r>
    </w:p>
    <w:p w14:paraId="6933ECDF" w14:textId="77777777" w:rsidR="00196427" w:rsidRDefault="00196427" w:rsidP="00196427">
      <w:pPr>
        <w:pStyle w:val="a3"/>
        <w:jc w:val="center"/>
      </w:pPr>
      <w:r>
        <w:t> </w:t>
      </w:r>
    </w:p>
    <w:p w14:paraId="0813263E" w14:textId="77777777" w:rsidR="00196427" w:rsidRDefault="00196427" w:rsidP="00196427">
      <w:pPr>
        <w:pStyle w:val="a3"/>
        <w:jc w:val="center"/>
      </w:pPr>
      <w:r>
        <w:rPr>
          <w:rStyle w:val="a4"/>
        </w:rPr>
        <w:t>Р Е Ш Е Н И Е</w:t>
      </w:r>
    </w:p>
    <w:p w14:paraId="61AEDC55" w14:textId="77777777" w:rsidR="00196427" w:rsidRDefault="00196427" w:rsidP="00196427">
      <w:pPr>
        <w:pStyle w:val="a3"/>
      </w:pPr>
      <w:r>
        <w:t> </w:t>
      </w:r>
    </w:p>
    <w:p w14:paraId="0C47917B" w14:textId="77777777" w:rsidR="00196427" w:rsidRDefault="00196427" w:rsidP="00196427">
      <w:pPr>
        <w:pStyle w:val="a3"/>
      </w:pPr>
      <w:r>
        <w:rPr>
          <w:u w:val="single"/>
        </w:rPr>
        <w:t>14 февраля 2012г.</w:t>
      </w:r>
      <w:r>
        <w:t xml:space="preserve"> </w:t>
      </w:r>
      <w:r>
        <w:rPr>
          <w:u w:val="single"/>
        </w:rPr>
        <w:t>№117</w:t>
      </w:r>
      <w:r>
        <w:br/>
      </w:r>
      <w:proofErr w:type="spellStart"/>
      <w:r>
        <w:t>г.Новополоцк</w:t>
      </w:r>
      <w:proofErr w:type="spellEnd"/>
    </w:p>
    <w:p w14:paraId="30A4E50A" w14:textId="77777777" w:rsidR="00196427" w:rsidRDefault="00196427" w:rsidP="00196427">
      <w:pPr>
        <w:pStyle w:val="a3"/>
      </w:pPr>
      <w:r>
        <w:t> </w:t>
      </w:r>
    </w:p>
    <w:p w14:paraId="40F383CE" w14:textId="77777777" w:rsidR="00196427" w:rsidRDefault="00196427" w:rsidP="00196427">
      <w:pPr>
        <w:pStyle w:val="a3"/>
      </w:pPr>
      <w:r>
        <w:t> </w:t>
      </w:r>
    </w:p>
    <w:p w14:paraId="59144123" w14:textId="77777777" w:rsidR="00196427" w:rsidRDefault="00196427" w:rsidP="00196427">
      <w:pPr>
        <w:pStyle w:val="a3"/>
        <w:jc w:val="center"/>
      </w:pPr>
      <w:r>
        <w:rPr>
          <w:rStyle w:val="a4"/>
        </w:rPr>
        <w:t xml:space="preserve">О внесении изменений в решение </w:t>
      </w:r>
      <w:proofErr w:type="spellStart"/>
      <w:r>
        <w:rPr>
          <w:rStyle w:val="a4"/>
        </w:rPr>
        <w:t>Новополоцкого</w:t>
      </w:r>
      <w:proofErr w:type="spellEnd"/>
      <w:r>
        <w:rPr>
          <w:rStyle w:val="a4"/>
        </w:rPr>
        <w:t xml:space="preserve"> городского исполнительного комитета №1409 от 12.12.2005г.</w:t>
      </w:r>
    </w:p>
    <w:p w14:paraId="7913CA9B" w14:textId="77777777" w:rsidR="00196427" w:rsidRDefault="00196427" w:rsidP="00196427">
      <w:pPr>
        <w:pStyle w:val="a3"/>
      </w:pPr>
      <w:r>
        <w:t> </w:t>
      </w:r>
    </w:p>
    <w:p w14:paraId="075095EC" w14:textId="77777777" w:rsidR="00196427" w:rsidRDefault="00196427" w:rsidP="00196427">
      <w:pPr>
        <w:pStyle w:val="a3"/>
      </w:pPr>
      <w:r>
        <w:t> </w:t>
      </w:r>
    </w:p>
    <w:p w14:paraId="39942AB8" w14:textId="77777777" w:rsidR="00196427" w:rsidRDefault="00196427" w:rsidP="00196427">
      <w:pPr>
        <w:pStyle w:val="a3"/>
      </w:pPr>
      <w:r>
        <w:t xml:space="preserve">В целях поощрения предприятий, учреждений и организаций, трудовых коллективов за наилучшие достижения в выполнении прогнозных показателей социально-экономического развития отраслей народного хозяйства, повышении эффективности производства и увеличении выпуска конкурентоспособной продукции, оказания услуг, организации и стимулирования труда </w:t>
      </w:r>
      <w:proofErr w:type="spellStart"/>
      <w:r>
        <w:t>Новополоцкий</w:t>
      </w:r>
      <w:proofErr w:type="spellEnd"/>
      <w:r>
        <w:t xml:space="preserve"> исполнительный комитет РЕШИЛ:</w:t>
      </w:r>
    </w:p>
    <w:p w14:paraId="0437A03A" w14:textId="77777777" w:rsidR="00196427" w:rsidRDefault="00196427" w:rsidP="00196427">
      <w:pPr>
        <w:pStyle w:val="a3"/>
      </w:pPr>
      <w:r>
        <w:t> </w:t>
      </w:r>
    </w:p>
    <w:p w14:paraId="650A7A34" w14:textId="77777777" w:rsidR="00196427" w:rsidRDefault="00196427" w:rsidP="00196427">
      <w:pPr>
        <w:pStyle w:val="a3"/>
      </w:pPr>
      <w:r>
        <w:t xml:space="preserve">1. Внести изменение в решение </w:t>
      </w:r>
      <w:proofErr w:type="spellStart"/>
      <w:r>
        <w:t>Новополоцкого</w:t>
      </w:r>
      <w:proofErr w:type="spellEnd"/>
      <w:r>
        <w:t xml:space="preserve"> городского исполнительного комитета №1409 от 12.12.2005г., изложив Положение о городской Доске почета в новой редакции (приложение).</w:t>
      </w:r>
    </w:p>
    <w:p w14:paraId="5DFF1260" w14:textId="77777777" w:rsidR="00196427" w:rsidRDefault="00196427" w:rsidP="00196427">
      <w:pPr>
        <w:pStyle w:val="a3"/>
      </w:pPr>
      <w:r>
        <w:t> </w:t>
      </w:r>
    </w:p>
    <w:p w14:paraId="1D70E5E3" w14:textId="77777777" w:rsidR="00196427" w:rsidRDefault="00196427" w:rsidP="00196427">
      <w:pPr>
        <w:pStyle w:val="a3"/>
      </w:pPr>
      <w:r>
        <w:t xml:space="preserve">2. Управляющему делами </w:t>
      </w:r>
      <w:proofErr w:type="spellStart"/>
      <w:r>
        <w:t>Новополоцкого</w:t>
      </w:r>
      <w:proofErr w:type="spellEnd"/>
      <w:r>
        <w:t xml:space="preserve"> горисполкома Гусарову П.П. обеспечить сохранность городской Доски почета.</w:t>
      </w:r>
    </w:p>
    <w:p w14:paraId="0F2FF65B" w14:textId="77777777" w:rsidR="00196427" w:rsidRDefault="00196427" w:rsidP="00196427">
      <w:pPr>
        <w:pStyle w:val="a3"/>
      </w:pPr>
      <w:r>
        <w:t> </w:t>
      </w:r>
    </w:p>
    <w:p w14:paraId="3E0AC013" w14:textId="77777777" w:rsidR="00196427" w:rsidRDefault="00196427" w:rsidP="00196427">
      <w:pPr>
        <w:pStyle w:val="a3"/>
      </w:pPr>
      <w:r>
        <w:t>3. Контроль за исполнением решения возложить на заместителя председателя Дурнова В.В.</w:t>
      </w:r>
    </w:p>
    <w:p w14:paraId="3D776987" w14:textId="77777777" w:rsidR="00196427" w:rsidRDefault="00196427" w:rsidP="00196427">
      <w:pPr>
        <w:pStyle w:val="a3"/>
      </w:pPr>
      <w:r>
        <w:t> </w:t>
      </w:r>
    </w:p>
    <w:p w14:paraId="2918249B" w14:textId="77777777" w:rsidR="00196427" w:rsidRDefault="00196427" w:rsidP="00196427">
      <w:pPr>
        <w:pStyle w:val="a3"/>
      </w:pPr>
      <w:r>
        <w:t>4. Настоящее решение вступает в силу с даты его принятия.</w:t>
      </w:r>
    </w:p>
    <w:p w14:paraId="1E410981" w14:textId="77777777" w:rsidR="00196427" w:rsidRDefault="00196427" w:rsidP="00196427">
      <w:pPr>
        <w:pStyle w:val="a3"/>
      </w:pPr>
      <w:r>
        <w:t> </w:t>
      </w:r>
    </w:p>
    <w:p w14:paraId="4016605F" w14:textId="77777777" w:rsidR="00196427" w:rsidRDefault="00196427" w:rsidP="00196427">
      <w:pPr>
        <w:pStyle w:val="a3"/>
      </w:pPr>
      <w:r>
        <w:t> </w:t>
      </w:r>
    </w:p>
    <w:p w14:paraId="357BF36E" w14:textId="77777777" w:rsidR="00196427" w:rsidRDefault="00196427" w:rsidP="00196427">
      <w:pPr>
        <w:pStyle w:val="a3"/>
      </w:pPr>
      <w:r>
        <w:rPr>
          <w:rStyle w:val="a4"/>
        </w:rPr>
        <w:lastRenderedPageBreak/>
        <w:t xml:space="preserve">Председатель      Н.И. </w:t>
      </w:r>
      <w:proofErr w:type="spellStart"/>
      <w:r>
        <w:rPr>
          <w:rStyle w:val="a4"/>
        </w:rPr>
        <w:t>Кочанова</w:t>
      </w:r>
      <w:proofErr w:type="spellEnd"/>
    </w:p>
    <w:p w14:paraId="6F369169" w14:textId="77777777" w:rsidR="00196427" w:rsidRDefault="00196427" w:rsidP="00196427">
      <w:pPr>
        <w:pStyle w:val="a3"/>
      </w:pPr>
      <w:r>
        <w:t> </w:t>
      </w:r>
    </w:p>
    <w:p w14:paraId="1B7549CE" w14:textId="77777777" w:rsidR="00196427" w:rsidRDefault="00196427" w:rsidP="00196427">
      <w:pPr>
        <w:pStyle w:val="a3"/>
      </w:pPr>
      <w:r>
        <w:rPr>
          <w:rStyle w:val="a4"/>
        </w:rPr>
        <w:t>Управляющий делами      П.П. Гусаров</w:t>
      </w:r>
    </w:p>
    <w:p w14:paraId="7D9D2399" w14:textId="77777777" w:rsidR="00196427" w:rsidRDefault="00196427" w:rsidP="00196427">
      <w:pPr>
        <w:pStyle w:val="a3"/>
      </w:pPr>
      <w:r>
        <w:t> </w:t>
      </w:r>
    </w:p>
    <w:p w14:paraId="106B9487" w14:textId="77777777" w:rsidR="00196427" w:rsidRDefault="00196427" w:rsidP="00196427">
      <w:pPr>
        <w:pStyle w:val="a3"/>
      </w:pPr>
      <w:r>
        <w:t> </w:t>
      </w:r>
    </w:p>
    <w:p w14:paraId="0A2DC0E9" w14:textId="77777777" w:rsidR="00196427" w:rsidRDefault="00196427" w:rsidP="00196427">
      <w:pPr>
        <w:pStyle w:val="a3"/>
        <w:jc w:val="right"/>
      </w:pPr>
      <w:r>
        <w:rPr>
          <w:rStyle w:val="a4"/>
        </w:rPr>
        <w:t>Приложение</w:t>
      </w:r>
    </w:p>
    <w:p w14:paraId="184E5129" w14:textId="77777777" w:rsidR="00196427" w:rsidRDefault="00196427" w:rsidP="00196427">
      <w:pPr>
        <w:pStyle w:val="a3"/>
        <w:jc w:val="right"/>
      </w:pPr>
      <w:r>
        <w:rPr>
          <w:rStyle w:val="a4"/>
        </w:rPr>
        <w:t xml:space="preserve">к решению </w:t>
      </w:r>
      <w:proofErr w:type="spellStart"/>
      <w:r>
        <w:rPr>
          <w:rStyle w:val="a4"/>
        </w:rPr>
        <w:t>Новополоцкого</w:t>
      </w:r>
      <w:proofErr w:type="spellEnd"/>
      <w:r>
        <w:rPr>
          <w:rStyle w:val="a4"/>
        </w:rPr>
        <w:t xml:space="preserve"> городского</w:t>
      </w:r>
      <w:r>
        <w:rPr>
          <w:b/>
          <w:bCs/>
        </w:rPr>
        <w:br/>
      </w:r>
      <w:r>
        <w:rPr>
          <w:rStyle w:val="a4"/>
        </w:rPr>
        <w:t>исполнительного комитета</w:t>
      </w:r>
      <w:r>
        <w:rPr>
          <w:b/>
          <w:bCs/>
        </w:rPr>
        <w:br/>
      </w:r>
      <w:r>
        <w:rPr>
          <w:rStyle w:val="a4"/>
        </w:rPr>
        <w:t>№117 от 14.02.2012г.</w:t>
      </w:r>
    </w:p>
    <w:p w14:paraId="0F8C534F" w14:textId="77777777" w:rsidR="00196427" w:rsidRDefault="00196427" w:rsidP="00196427">
      <w:pPr>
        <w:pStyle w:val="a3"/>
        <w:jc w:val="right"/>
      </w:pPr>
      <w:r>
        <w:t> </w:t>
      </w:r>
    </w:p>
    <w:p w14:paraId="1564C722" w14:textId="77777777" w:rsidR="00196427" w:rsidRDefault="00196427" w:rsidP="00196427">
      <w:pPr>
        <w:pStyle w:val="a3"/>
        <w:jc w:val="center"/>
      </w:pPr>
      <w:r>
        <w:t> </w:t>
      </w:r>
      <w:r>
        <w:rPr>
          <w:rStyle w:val="a4"/>
        </w:rPr>
        <w:t>ПОЛОЖЕНИЕ</w:t>
      </w:r>
    </w:p>
    <w:p w14:paraId="56381720" w14:textId="77777777" w:rsidR="00196427" w:rsidRDefault="00196427" w:rsidP="00196427">
      <w:pPr>
        <w:pStyle w:val="a3"/>
        <w:jc w:val="center"/>
      </w:pPr>
      <w:r>
        <w:rPr>
          <w:rStyle w:val="a4"/>
        </w:rPr>
        <w:t>о городской Доске почета</w:t>
      </w:r>
    </w:p>
    <w:p w14:paraId="40DC142C" w14:textId="77777777" w:rsidR="00196427" w:rsidRDefault="00196427" w:rsidP="00196427">
      <w:pPr>
        <w:pStyle w:val="a3"/>
        <w:jc w:val="right"/>
      </w:pPr>
      <w:r>
        <w:t> </w:t>
      </w:r>
    </w:p>
    <w:p w14:paraId="55FEA4E3" w14:textId="77777777" w:rsidR="00196427" w:rsidRDefault="00196427" w:rsidP="00196427">
      <w:pPr>
        <w:pStyle w:val="a3"/>
      </w:pPr>
      <w:r>
        <w:t>1. В настоящем Положении определяются условия и порядок занесения на городскую Доску почета (далее – Доска почета) предприятий, учреждений и организаций всех форм собственности, достигших наилучших показателей по итогам работы за отчетный год.</w:t>
      </w:r>
    </w:p>
    <w:p w14:paraId="25088E8E" w14:textId="77777777" w:rsidR="00196427" w:rsidRDefault="00196427" w:rsidP="00196427">
      <w:pPr>
        <w:pStyle w:val="a3"/>
      </w:pPr>
      <w:r>
        <w:t> </w:t>
      </w:r>
    </w:p>
    <w:p w14:paraId="54519B40" w14:textId="77777777" w:rsidR="00196427" w:rsidRDefault="00196427" w:rsidP="00196427">
      <w:pPr>
        <w:pStyle w:val="a3"/>
      </w:pPr>
      <w:r>
        <w:t>2. Занесение на Доску почета является общественным признанием и моральным поощрением достижений в социально-экономическом развитии.</w:t>
      </w:r>
    </w:p>
    <w:p w14:paraId="59BDD2E5" w14:textId="77777777" w:rsidR="00196427" w:rsidRDefault="00196427" w:rsidP="00196427">
      <w:pPr>
        <w:pStyle w:val="a3"/>
      </w:pPr>
      <w:r>
        <w:t> </w:t>
      </w:r>
    </w:p>
    <w:p w14:paraId="62508391" w14:textId="77777777" w:rsidR="00196427" w:rsidRDefault="00196427" w:rsidP="00196427">
      <w:pPr>
        <w:pStyle w:val="a3"/>
      </w:pPr>
      <w:r>
        <w:t>3. Количество мест на Доске почета – 10, из них для:</w:t>
      </w:r>
    </w:p>
    <w:p w14:paraId="45D42C7D" w14:textId="77777777" w:rsidR="00196427" w:rsidRDefault="00196427" w:rsidP="00196427">
      <w:pPr>
        <w:pStyle w:val="a3"/>
      </w:pPr>
      <w:r>
        <w:t> </w:t>
      </w:r>
    </w:p>
    <w:p w14:paraId="77BB96F1" w14:textId="77777777" w:rsidR="00196427" w:rsidRDefault="00196427" w:rsidP="00196427">
      <w:pPr>
        <w:pStyle w:val="a3"/>
      </w:pPr>
      <w:r>
        <w:t>- промышленных предприятий и организаций топливно-энергетического комплекса – 1;</w:t>
      </w:r>
    </w:p>
    <w:p w14:paraId="729A8C17" w14:textId="77777777" w:rsidR="00196427" w:rsidRDefault="00196427" w:rsidP="00196427">
      <w:pPr>
        <w:pStyle w:val="a3"/>
      </w:pPr>
      <w:r>
        <w:t>- строительных организаций – 1;</w:t>
      </w:r>
    </w:p>
    <w:p w14:paraId="2DFD47F7" w14:textId="77777777" w:rsidR="00196427" w:rsidRDefault="00196427" w:rsidP="00196427">
      <w:pPr>
        <w:pStyle w:val="a3"/>
      </w:pPr>
      <w:r>
        <w:t>- предприятий транспорта, связи, банков, страховых компаний – 1;</w:t>
      </w:r>
    </w:p>
    <w:p w14:paraId="68BEA113" w14:textId="77777777" w:rsidR="00196427" w:rsidRDefault="00196427" w:rsidP="00196427">
      <w:pPr>
        <w:pStyle w:val="a3"/>
      </w:pPr>
      <w:r>
        <w:t>- предприятий торговли и общественного питания – 1;</w:t>
      </w:r>
    </w:p>
    <w:p w14:paraId="743647A4" w14:textId="77777777" w:rsidR="00196427" w:rsidRDefault="00196427" w:rsidP="00196427">
      <w:pPr>
        <w:pStyle w:val="a3"/>
      </w:pPr>
      <w:r>
        <w:t>- предприятий и структурных подразделений коммунального хозяйства и бытового обслуживания населения – 1;</w:t>
      </w:r>
    </w:p>
    <w:p w14:paraId="61675470" w14:textId="77777777" w:rsidR="00196427" w:rsidRDefault="00196427" w:rsidP="00196427">
      <w:pPr>
        <w:pStyle w:val="a3"/>
      </w:pPr>
      <w:r>
        <w:t>- малого и среднего бизнеса, предпринимательской деятельности – 1;</w:t>
      </w:r>
    </w:p>
    <w:p w14:paraId="541F4240" w14:textId="77777777" w:rsidR="00196427" w:rsidRDefault="00196427" w:rsidP="00196427">
      <w:pPr>
        <w:pStyle w:val="a3"/>
      </w:pPr>
      <w:r>
        <w:lastRenderedPageBreak/>
        <w:t>- организаций здравоохранения – 1;</w:t>
      </w:r>
    </w:p>
    <w:p w14:paraId="4E3D6ADD" w14:textId="77777777" w:rsidR="00196427" w:rsidRDefault="00196427" w:rsidP="00196427">
      <w:pPr>
        <w:pStyle w:val="a3"/>
      </w:pPr>
      <w:r>
        <w:t>- учреждений образования и науки – 1;</w:t>
      </w:r>
    </w:p>
    <w:p w14:paraId="2539836B" w14:textId="77777777" w:rsidR="00196427" w:rsidRDefault="00196427" w:rsidP="00196427">
      <w:pPr>
        <w:pStyle w:val="a3"/>
      </w:pPr>
      <w:r>
        <w:t>- учреждений культуры – 1;</w:t>
      </w:r>
    </w:p>
    <w:p w14:paraId="2A735F43" w14:textId="77777777" w:rsidR="00196427" w:rsidRDefault="00196427" w:rsidP="00196427">
      <w:pPr>
        <w:pStyle w:val="a3"/>
      </w:pPr>
      <w:r>
        <w:t>- учреждений спорта – 1.</w:t>
      </w:r>
    </w:p>
    <w:p w14:paraId="271A5A71" w14:textId="77777777" w:rsidR="00196427" w:rsidRDefault="00196427" w:rsidP="00196427">
      <w:pPr>
        <w:pStyle w:val="a3"/>
      </w:pPr>
      <w:r>
        <w:t> </w:t>
      </w:r>
    </w:p>
    <w:p w14:paraId="390C775E" w14:textId="77777777" w:rsidR="00196427" w:rsidRDefault="00196427" w:rsidP="00196427">
      <w:pPr>
        <w:pStyle w:val="a3"/>
      </w:pPr>
      <w:r>
        <w:t>Число мест по отраслям при необходимости может быть увеличено за счет тех из них, по которым отсутствуют номинанты.</w:t>
      </w:r>
    </w:p>
    <w:p w14:paraId="2E4C3494" w14:textId="77777777" w:rsidR="00196427" w:rsidRDefault="00196427" w:rsidP="00196427">
      <w:pPr>
        <w:pStyle w:val="a3"/>
      </w:pPr>
      <w:r>
        <w:t> </w:t>
      </w:r>
    </w:p>
    <w:p w14:paraId="3C89ED07" w14:textId="77777777" w:rsidR="00196427" w:rsidRDefault="00196427" w:rsidP="00196427">
      <w:pPr>
        <w:pStyle w:val="a3"/>
      </w:pPr>
      <w:r>
        <w:t>4. При выдвижении предприятий, учреждений, организаций на доску Почета основным критерием оценки работы трудовых коллективов является выполнение за отчетный год основных целевых показателей прогноза социально-экономического развития, а организаций образования и научного обслуживания – достижение наиболее высоких показателей в образовательной, научно- технической и инновационной деятельности.</w:t>
      </w:r>
    </w:p>
    <w:p w14:paraId="12570887" w14:textId="77777777" w:rsidR="00196427" w:rsidRDefault="00196427" w:rsidP="00196427">
      <w:pPr>
        <w:pStyle w:val="a3"/>
      </w:pPr>
      <w:r>
        <w:t> </w:t>
      </w:r>
    </w:p>
    <w:p w14:paraId="2FEED47F" w14:textId="77777777" w:rsidR="00196427" w:rsidRDefault="00196427" w:rsidP="00196427">
      <w:pPr>
        <w:pStyle w:val="a3"/>
      </w:pPr>
      <w:r>
        <w:t>Обязательными условиями для занесения на Доску почета предприятий, учреждений и организаций являются обеспечение показателей трудовой и исполнительской дисциплины, охраны труда и техники безопасности, отсутствие несчастных случаев на производстве, в том числе, повлекших смерть работников.</w:t>
      </w:r>
    </w:p>
    <w:p w14:paraId="785AE17A" w14:textId="77777777" w:rsidR="00196427" w:rsidRDefault="00196427" w:rsidP="00196427">
      <w:pPr>
        <w:pStyle w:val="a3"/>
      </w:pPr>
      <w:r>
        <w:t> </w:t>
      </w:r>
    </w:p>
    <w:p w14:paraId="51890140" w14:textId="77777777" w:rsidR="00196427" w:rsidRDefault="00196427" w:rsidP="00196427">
      <w:pPr>
        <w:pStyle w:val="a3"/>
      </w:pPr>
      <w:r>
        <w:t>5. Лучшие среди рассматриваемых кандидатур определяются отраслевыми отделами по балльной системе по направлениям:</w:t>
      </w:r>
    </w:p>
    <w:p w14:paraId="1001DEE0" w14:textId="77777777" w:rsidR="00196427" w:rsidRDefault="00196427" w:rsidP="00196427">
      <w:pPr>
        <w:pStyle w:val="a3"/>
      </w:pPr>
      <w:r>
        <w:t> </w:t>
      </w:r>
    </w:p>
    <w:p w14:paraId="32CFFD0F" w14:textId="77777777" w:rsidR="00196427" w:rsidRDefault="00196427" w:rsidP="00196427">
      <w:pPr>
        <w:pStyle w:val="a3"/>
      </w:pPr>
      <w:r>
        <w:t>- промышленность, предпринимательская деятельность – отдел экономики;</w:t>
      </w:r>
    </w:p>
    <w:p w14:paraId="702BFF70" w14:textId="77777777" w:rsidR="00196427" w:rsidRDefault="00196427" w:rsidP="00196427">
      <w:pPr>
        <w:pStyle w:val="a3"/>
      </w:pPr>
      <w:r>
        <w:t>- транспорт, связь, предприятия коммунального хозяйства и бытового обслуживания – отдел жилищно-коммунального хозяйства;</w:t>
      </w:r>
    </w:p>
    <w:p w14:paraId="62F36778" w14:textId="77777777" w:rsidR="00196427" w:rsidRDefault="00196427" w:rsidP="00196427">
      <w:pPr>
        <w:pStyle w:val="a3"/>
      </w:pPr>
      <w:r>
        <w:t>- предприятия торговли и общественного питания – отдел торговли;</w:t>
      </w:r>
    </w:p>
    <w:p w14:paraId="2ED54322" w14:textId="77777777" w:rsidR="00196427" w:rsidRDefault="00196427" w:rsidP="00196427">
      <w:pPr>
        <w:pStyle w:val="a3"/>
      </w:pPr>
      <w:r>
        <w:t>- строительные организации – отдел архитектуры и градостроительства;</w:t>
      </w:r>
    </w:p>
    <w:p w14:paraId="467D2F57" w14:textId="77777777" w:rsidR="00196427" w:rsidRDefault="00196427" w:rsidP="00196427">
      <w:pPr>
        <w:pStyle w:val="a3"/>
      </w:pPr>
      <w:r>
        <w:t>- учреждения здравоохранения – отдел организационно-кадровой работы;</w:t>
      </w:r>
    </w:p>
    <w:p w14:paraId="4B8DFB17" w14:textId="77777777" w:rsidR="00196427" w:rsidRDefault="00196427" w:rsidP="00196427">
      <w:pPr>
        <w:pStyle w:val="a3"/>
      </w:pPr>
      <w:r>
        <w:t>- учреждения образования и науки – отдел образования;</w:t>
      </w:r>
    </w:p>
    <w:p w14:paraId="20E67D12" w14:textId="77777777" w:rsidR="00196427" w:rsidRDefault="00196427" w:rsidP="00196427">
      <w:pPr>
        <w:pStyle w:val="a3"/>
      </w:pPr>
      <w:r>
        <w:t>- учреждения культуры – отдел культуры;</w:t>
      </w:r>
    </w:p>
    <w:p w14:paraId="4558DB9A" w14:textId="77777777" w:rsidR="00196427" w:rsidRDefault="00196427" w:rsidP="00196427">
      <w:pPr>
        <w:pStyle w:val="a3"/>
      </w:pPr>
      <w:r>
        <w:t>- учреждения спорта – отдел физической культуры, спорта и туризма;</w:t>
      </w:r>
    </w:p>
    <w:p w14:paraId="7CED8865" w14:textId="77777777" w:rsidR="00196427" w:rsidRDefault="00196427" w:rsidP="00196427">
      <w:pPr>
        <w:pStyle w:val="a3"/>
      </w:pPr>
      <w:r>
        <w:lastRenderedPageBreak/>
        <w:t> </w:t>
      </w:r>
    </w:p>
    <w:p w14:paraId="3F9688A5" w14:textId="77777777" w:rsidR="00196427" w:rsidRDefault="00196427" w:rsidP="00196427">
      <w:pPr>
        <w:pStyle w:val="a3"/>
      </w:pPr>
      <w:r>
        <w:t>и направляются на рассмотрение в комиссию.</w:t>
      </w:r>
    </w:p>
    <w:p w14:paraId="0D0508D2" w14:textId="77777777" w:rsidR="00196427" w:rsidRDefault="00196427" w:rsidP="00196427">
      <w:pPr>
        <w:pStyle w:val="a3"/>
      </w:pPr>
      <w:r>
        <w:t> </w:t>
      </w:r>
    </w:p>
    <w:p w14:paraId="153022D4" w14:textId="77777777" w:rsidR="00196427" w:rsidRDefault="00196427" w:rsidP="00196427">
      <w:pPr>
        <w:pStyle w:val="a3"/>
      </w:pPr>
      <w:r>
        <w:t>6. При одинаковых показателях отдается преимущество предприятию, внесшему наиболее значимый вклад в развитие инфраструктуры города.</w:t>
      </w:r>
    </w:p>
    <w:p w14:paraId="72B4DDE1" w14:textId="77777777" w:rsidR="00196427" w:rsidRDefault="00196427" w:rsidP="00196427">
      <w:pPr>
        <w:pStyle w:val="a3"/>
      </w:pPr>
      <w:r>
        <w:t> </w:t>
      </w:r>
    </w:p>
    <w:p w14:paraId="1FB0E9CA" w14:textId="77777777" w:rsidR="00196427" w:rsidRDefault="00196427" w:rsidP="00196427">
      <w:pPr>
        <w:pStyle w:val="a3"/>
      </w:pPr>
      <w:r>
        <w:t>7. Материалы о выполнении основных целевых показателей прогноза социально-экономического развития и результаты внутриотраслевого соревнования для определения лучших предприятий предоставляются отраслевыми отделами и управлениями в отдел экономики.</w:t>
      </w:r>
    </w:p>
    <w:p w14:paraId="6105B755" w14:textId="77777777" w:rsidR="00196427" w:rsidRDefault="00196427" w:rsidP="00196427">
      <w:pPr>
        <w:pStyle w:val="a3"/>
      </w:pPr>
      <w:r>
        <w:t> </w:t>
      </w:r>
    </w:p>
    <w:p w14:paraId="335726A0" w14:textId="77777777" w:rsidR="00196427" w:rsidRDefault="00196427" w:rsidP="00196427">
      <w:pPr>
        <w:pStyle w:val="a3"/>
      </w:pPr>
      <w:r>
        <w:t>8. Отдел экономики предоставляет поступившие материалы на рассмотрение комиссии, состав которой определяется распоряжением председателя горисполкома.</w:t>
      </w:r>
    </w:p>
    <w:p w14:paraId="31718D6F" w14:textId="77777777" w:rsidR="00196427" w:rsidRDefault="00196427" w:rsidP="00196427">
      <w:pPr>
        <w:pStyle w:val="a3"/>
      </w:pPr>
      <w:r>
        <w:t> </w:t>
      </w:r>
    </w:p>
    <w:p w14:paraId="6C4BB5D6" w14:textId="77777777" w:rsidR="00196427" w:rsidRDefault="00196427" w:rsidP="00196427">
      <w:pPr>
        <w:pStyle w:val="a3"/>
      </w:pPr>
      <w:r>
        <w:t>9. В отдел экономики предоставляются следующие документы:</w:t>
      </w:r>
    </w:p>
    <w:p w14:paraId="2F8BBCC4" w14:textId="77777777" w:rsidR="00196427" w:rsidRDefault="00196427" w:rsidP="00196427">
      <w:pPr>
        <w:pStyle w:val="a3"/>
      </w:pPr>
      <w:r>
        <w:t> </w:t>
      </w:r>
    </w:p>
    <w:p w14:paraId="1ED585F2" w14:textId="77777777" w:rsidR="00196427" w:rsidRDefault="00196427" w:rsidP="00196427">
      <w:pPr>
        <w:pStyle w:val="a3"/>
      </w:pPr>
      <w:r>
        <w:t>- справки – характеристики по итогам производственно-хозяйственной деятельности, образовательным, научно-техническим, инновационным достижениям;</w:t>
      </w:r>
    </w:p>
    <w:p w14:paraId="0080471F" w14:textId="77777777" w:rsidR="00196427" w:rsidRDefault="00196427" w:rsidP="00196427">
      <w:pPr>
        <w:pStyle w:val="a3"/>
      </w:pPr>
      <w:r>
        <w:t>- таблицы выполнения основных целевых прогнозных показателей;</w:t>
      </w:r>
    </w:p>
    <w:p w14:paraId="54351833" w14:textId="77777777" w:rsidR="00196427" w:rsidRDefault="00196427" w:rsidP="00196427">
      <w:pPr>
        <w:pStyle w:val="a3"/>
      </w:pPr>
      <w:r>
        <w:t>- фотография предприятия, либо ведущего структурного подразделения;</w:t>
      </w:r>
    </w:p>
    <w:p w14:paraId="13EE2F41" w14:textId="77777777" w:rsidR="00196427" w:rsidRDefault="00196427" w:rsidP="00196427">
      <w:pPr>
        <w:pStyle w:val="a3"/>
      </w:pPr>
      <w:r>
        <w:t>- фотография руководителя.</w:t>
      </w:r>
    </w:p>
    <w:p w14:paraId="33977D92" w14:textId="77777777" w:rsidR="00196427" w:rsidRDefault="00196427" w:rsidP="00196427">
      <w:pPr>
        <w:pStyle w:val="a3"/>
      </w:pPr>
      <w:r>
        <w:t> </w:t>
      </w:r>
    </w:p>
    <w:p w14:paraId="55B92347" w14:textId="77777777" w:rsidR="00196427" w:rsidRDefault="00196427" w:rsidP="00196427">
      <w:pPr>
        <w:pStyle w:val="a3"/>
      </w:pPr>
      <w:r>
        <w:t xml:space="preserve">10. Фотографии должны быть цветными, размером А3 и А4, материалы – размер А4, шрифт 12 Times New </w:t>
      </w:r>
      <w:proofErr w:type="spellStart"/>
      <w:r>
        <w:t>Roman</w:t>
      </w:r>
      <w:proofErr w:type="spellEnd"/>
      <w:r>
        <w:t>, в электронном виде и на бумажном носителе с подписью руководящих лиц. Материалы по итогам производственно-хозяйственной деятельности должны быть согласованы с органами статистики и отделом экономики исполкома.</w:t>
      </w:r>
    </w:p>
    <w:p w14:paraId="3A8B4172" w14:textId="77777777" w:rsidR="00196427" w:rsidRDefault="00196427" w:rsidP="00196427">
      <w:pPr>
        <w:pStyle w:val="a3"/>
      </w:pPr>
      <w:r>
        <w:t> </w:t>
      </w:r>
    </w:p>
    <w:p w14:paraId="0B5A866A" w14:textId="77777777" w:rsidR="00196427" w:rsidRDefault="00196427" w:rsidP="00196427">
      <w:pPr>
        <w:pStyle w:val="a3"/>
      </w:pPr>
      <w:r>
        <w:t>11. Материалы по претендентам, не выполнившим условия п.4 настоящего Положения, а также представленные с нарушением установленных сроков и требований оформления – не рассматриваются.</w:t>
      </w:r>
    </w:p>
    <w:p w14:paraId="2AE33560" w14:textId="77777777" w:rsidR="00196427" w:rsidRDefault="00196427" w:rsidP="00196427">
      <w:pPr>
        <w:pStyle w:val="a3"/>
      </w:pPr>
      <w:r>
        <w:t> </w:t>
      </w:r>
    </w:p>
    <w:p w14:paraId="6983656F" w14:textId="77777777" w:rsidR="00196427" w:rsidRDefault="00196427" w:rsidP="00196427">
      <w:pPr>
        <w:pStyle w:val="a3"/>
      </w:pPr>
      <w:r>
        <w:lastRenderedPageBreak/>
        <w:t>12. Руководители предприятий, занесенных на городскую Доску почета, премируются в размере 50% должностного оклада. Выплата премии производится за счет прибыли, остающейся в распоряжении предприятия.</w:t>
      </w:r>
    </w:p>
    <w:p w14:paraId="70D7510D" w14:textId="77777777" w:rsidR="00196427" w:rsidRDefault="00196427" w:rsidP="00196427">
      <w:pPr>
        <w:pStyle w:val="a3"/>
      </w:pPr>
      <w:r>
        <w:t> </w:t>
      </w:r>
    </w:p>
    <w:p w14:paraId="0F4D57FC" w14:textId="77777777" w:rsidR="00196427" w:rsidRDefault="00196427" w:rsidP="00196427">
      <w:pPr>
        <w:pStyle w:val="a3"/>
      </w:pPr>
      <w:r>
        <w:t>13. Рекомендовать руководителям предприятий премировать работников в зависимости от их личного вклада в достижение высоких результатов труда за счет прибыли, оставшейся в распоряжении предприятия.</w:t>
      </w:r>
    </w:p>
    <w:p w14:paraId="02F7C0C0" w14:textId="77777777" w:rsidR="00D946C5" w:rsidRDefault="00D946C5"/>
    <w:sectPr w:rsidR="00D9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27"/>
    <w:rsid w:val="00196427"/>
    <w:rsid w:val="00D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DB7F"/>
  <w15:chartTrackingRefBased/>
  <w15:docId w15:val="{668C2C04-3A32-4CCD-9485-4B58C153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1</cp:revision>
  <dcterms:created xsi:type="dcterms:W3CDTF">2021-07-12T06:22:00Z</dcterms:created>
  <dcterms:modified xsi:type="dcterms:W3CDTF">2021-07-12T06:22:00Z</dcterms:modified>
</cp:coreProperties>
</file>